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One-Truck Operation DOT Deadline Calendar (Free Template)</w:t>
      </w:r>
    </w:p>
    <w:p>
      <w:pPr>
        <w:spacing w:after="240"/>
      </w:pPr>
      <w:r>
        <w:rPr>
          <w:color w:val="666666"/>
          <w:sz w:val="18"/>
          <w:szCs w:val="18"/>
        </w:rPr>
        <w:t xml:space="preserve">FleetClear · https://fleetclear.9gg.app/templates/one-truck-dot-deadline-calendar.html · 2026-09-07</w:t>
      </w:r>
    </w:p>
    <w:p>
      <w:pPr>
        <w:spacing w:after="120"/>
      </w:pPr>
      <w:r>
        <w:rPr>
          <w:b w:val="false"/>
          <w:bCs w:val="false"/>
        </w:rPr>
        <w:t xml:space="preserve">A one-truck operation carries almost the same list of compliance deadlines as a hundred-truck fleet — it just has nobody whose job is to watch them. Some dates are fixed (IFTA quarters), some are coded into your USDOT number (MCS-150), and some run from your own history (medical card, annual inspection, annual MVR review). This template lists every recurring deadline, tells you how to work out your own date for each, and gives you a fill-in year planner. Free printable Word version below — just tell us where to send it.</w:t>
      </w:r>
    </w:p>
    <w:p>
      <w:pPr>
        <w:pStyle w:val="Heading2"/>
        <w:spacing w:after="120" w:before="280"/>
      </w:pPr>
      <w:r>
        <w:t xml:space="preserve">Fixed-date deadlines (same for everyone)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8EEF9"/>
          </w:tcPr>
          <w:p>
            <w:r>
              <w:rPr>
                <w:b/>
                <w:bCs/>
              </w:rPr>
              <w:t xml:space="preserve">Deadline</w:t>
            </w:r>
          </w:p>
        </w:tc>
        <w:tc>
          <w:tcPr>
            <w:tcW w:type="pct" w:w="33%"/>
            <w:shd w:fill="E8EEF9"/>
          </w:tcPr>
          <w:p>
            <w:r>
              <w:rPr>
                <w:b/>
                <w:bCs/>
              </w:rPr>
              <w:t xml:space="preserve">When</w:t>
            </w:r>
          </w:p>
        </w:tc>
        <w:tc>
          <w:tcPr>
            <w:tcW w:type="pct" w:w="33%"/>
            <w:shd w:fill="E8EEF9"/>
          </w:tcPr>
          <w:p>
            <w:r>
              <w:rPr>
                <w:b/>
                <w:bCs/>
              </w:rPr>
              <w:t xml:space="preserve">Notes</w:t>
            </w:r>
          </w:p>
        </w:tc>
      </w:tr>
      <w:tr>
        <w:tc>
          <w:tcPr>
            <w:tcW w:type="pct" w:w="33%"/>
          </w:tcPr>
          <w:p>
            <w:r>
              <w:rPr>
                <w:b w:val="false"/>
                <w:bCs w:val="false"/>
              </w:rPr>
              <w:t xml:space="preserve">IFTA Q4 return</w:t>
            </w:r>
          </w:p>
        </w:tc>
        <w:tc>
          <w:tcPr>
            <w:tcW w:type="pct" w:w="33%"/>
          </w:tcPr>
          <w:p>
            <w:r>
              <w:rPr>
                <w:b w:val="false"/>
                <w:bCs w:val="false"/>
              </w:rPr>
              <w:t xml:space="preserve">January 31</w:t>
            </w:r>
          </w:p>
        </w:tc>
        <w:tc>
          <w:tcPr>
            <w:tcW w:type="pct" w:w="33%"/>
          </w:tcPr>
          <w:p>
            <w:r>
              <w:rPr>
                <w:b w:val="false"/>
                <w:bCs w:val="false"/>
              </w:rPr>
              <w:t xml:space="preserve">Covers Oct–Dec; file even with no operations</w:t>
            </w:r>
          </w:p>
        </w:tc>
      </w:tr>
      <w:tr>
        <w:tc>
          <w:tcPr>
            <w:tcW w:type="pct" w:w="33%"/>
          </w:tcPr>
          <w:p>
            <w:r>
              <w:rPr>
                <w:b w:val="false"/>
                <w:bCs w:val="false"/>
              </w:rPr>
              <w:t xml:space="preserve">New-year IFTA decals displayed</w:t>
            </w:r>
          </w:p>
        </w:tc>
        <w:tc>
          <w:tcPr>
            <w:tcW w:type="pct" w:w="33%"/>
          </w:tcPr>
          <w:p>
            <w:r>
              <w:rPr>
                <w:b w:val="false"/>
                <w:bCs w:val="false"/>
              </w:rPr>
              <w:t xml:space="preserve">End of February</w:t>
            </w:r>
          </w:p>
        </w:tc>
        <w:tc>
          <w:tcPr>
            <w:tcW w:type="pct" w:w="33%"/>
          </w:tcPr>
          <w:p>
            <w:r>
              <w:rPr>
                <w:b w:val="false"/>
                <w:bCs w:val="false"/>
              </w:rPr>
              <w:t xml:space="preserve">Grace period for displaying renewed decals; renew licence before Dec 31</w:t>
            </w:r>
          </w:p>
        </w:tc>
      </w:tr>
      <w:tr>
        <w:tc>
          <w:tcPr>
            <w:tcW w:type="pct" w:w="33%"/>
          </w:tcPr>
          <w:p>
            <w:r>
              <w:rPr>
                <w:b w:val="false"/>
                <w:bCs w:val="false"/>
              </w:rPr>
              <w:t xml:space="preserve">Drug &amp; alcohol MIS report (only if FMCSA requests it)</w:t>
            </w:r>
          </w:p>
        </w:tc>
        <w:tc>
          <w:tcPr>
            <w:tcW w:type="pct" w:w="33%"/>
          </w:tcPr>
          <w:p>
            <w:r>
              <w:rPr>
                <w:b w:val="false"/>
                <w:bCs w:val="false"/>
              </w:rPr>
              <w:t xml:space="preserve">March 15</w:t>
            </w:r>
          </w:p>
        </w:tc>
        <w:tc>
          <w:tcPr>
            <w:tcW w:type="pct" w:w="33%"/>
          </w:tcPr>
          <w:p>
            <w:r>
              <w:rPr>
                <w:b w:val="false"/>
                <w:bCs w:val="false"/>
              </w:rPr>
              <w:t xml:space="preserve">Consortium usually prepares it</w:t>
            </w:r>
          </w:p>
        </w:tc>
      </w:tr>
      <w:tr>
        <w:tc>
          <w:tcPr>
            <w:tcW w:type="pct" w:w="33%"/>
          </w:tcPr>
          <w:p>
            <w:r>
              <w:rPr>
                <w:b w:val="false"/>
                <w:bCs w:val="false"/>
              </w:rPr>
              <w:t xml:space="preserve">IFTA Q1 return</w:t>
            </w:r>
          </w:p>
        </w:tc>
        <w:tc>
          <w:tcPr>
            <w:tcW w:type="pct" w:w="33%"/>
          </w:tcPr>
          <w:p>
            <w:r>
              <w:rPr>
                <w:b w:val="false"/>
                <w:bCs w:val="false"/>
              </w:rPr>
              <w:t xml:space="preserve">April 30</w:t>
            </w:r>
          </w:p>
        </w:tc>
        <w:tc>
          <w:tcPr>
            <w:tcW w:type="pct" w:w="33%"/>
          </w:tcPr>
          <w:p>
            <w:r>
              <w:rPr>
                <w:b w:val="false"/>
                <w:bCs w:val="false"/>
              </w:rPr>
              <w:t xml:space="preserve"> </w:t>
            </w:r>
          </w:p>
        </w:tc>
      </w:tr>
      <w:tr>
        <w:tc>
          <w:tcPr>
            <w:tcW w:type="pct" w:w="33%"/>
          </w:tcPr>
          <w:p>
            <w:r>
              <w:rPr>
                <w:b w:val="false"/>
                <w:bCs w:val="false"/>
              </w:rPr>
              <w:t xml:space="preserve">IFTA Q2 return</w:t>
            </w:r>
          </w:p>
        </w:tc>
        <w:tc>
          <w:tcPr>
            <w:tcW w:type="pct" w:w="33%"/>
          </w:tcPr>
          <w:p>
            <w:r>
              <w:rPr>
                <w:b w:val="false"/>
                <w:bCs w:val="false"/>
              </w:rPr>
              <w:t xml:space="preserve">July 31</w:t>
            </w:r>
          </w:p>
        </w:tc>
        <w:tc>
          <w:tcPr>
            <w:tcW w:type="pct" w:w="33%"/>
          </w:tcPr>
          <w:p>
            <w:r>
              <w:rPr>
                <w:b w:val="false"/>
                <w:bCs w:val="false"/>
              </w:rPr>
              <w:t xml:space="preserve"> </w:t>
            </w:r>
          </w:p>
        </w:tc>
      </w:tr>
      <w:tr>
        <w:tc>
          <w:tcPr>
            <w:tcW w:type="pct" w:w="33%"/>
          </w:tcPr>
          <w:p>
            <w:r>
              <w:rPr>
                <w:b w:val="false"/>
                <w:bCs w:val="false"/>
              </w:rPr>
              <w:t xml:space="preserve">HVUT Form 2290</w:t>
            </w:r>
          </w:p>
        </w:tc>
        <w:tc>
          <w:tcPr>
            <w:tcW w:type="pct" w:w="33%"/>
          </w:tcPr>
          <w:p>
            <w:r>
              <w:rPr>
                <w:b w:val="false"/>
                <w:bCs w:val="false"/>
              </w:rPr>
              <w:t xml:space="preserve">August 31</w:t>
            </w:r>
          </w:p>
        </w:tc>
        <w:tc>
          <w:tcPr>
            <w:tcW w:type="pct" w:w="33%"/>
          </w:tcPr>
          <w:p>
            <w:r>
              <w:rPr>
                <w:b w:val="false"/>
                <w:bCs w:val="false"/>
              </w:rPr>
              <w:t xml:space="preserve">For vehicles 55,000 lb+ in use in July; tax period Jul 1–Jun 30; keep stamped Schedule 1 for IRP</w:t>
            </w:r>
          </w:p>
        </w:tc>
      </w:tr>
      <w:tr>
        <w:tc>
          <w:tcPr>
            <w:tcW w:type="pct" w:w="33%"/>
          </w:tcPr>
          <w:p>
            <w:r>
              <w:rPr>
                <w:b w:val="false"/>
                <w:bCs w:val="false"/>
              </w:rPr>
              <w:t xml:space="preserve">UCR registration for next year</w:t>
            </w:r>
          </w:p>
        </w:tc>
        <w:tc>
          <w:tcPr>
            <w:tcW w:type="pct" w:w="33%"/>
          </w:tcPr>
          <w:p>
            <w:r>
              <w:rPr>
                <w:b w:val="false"/>
                <w:bCs w:val="false"/>
              </w:rPr>
              <w:t xml:space="preserve">Opens ~October 1; register before December 31</w:t>
            </w:r>
          </w:p>
        </w:tc>
        <w:tc>
          <w:tcPr>
            <w:tcW w:type="pct" w:w="33%"/>
          </w:tcPr>
          <w:p>
            <w:r>
              <w:rPr>
                <w:b w:val="false"/>
                <w:bCs w:val="false"/>
              </w:rPr>
              <w:t xml:space="preserve">Enforcement of the new year typically starts January 1</w:t>
            </w:r>
          </w:p>
        </w:tc>
      </w:tr>
      <w:tr>
        <w:tc>
          <w:tcPr>
            <w:tcW w:type="pct" w:w="33%"/>
          </w:tcPr>
          <w:p>
            <w:r>
              <w:rPr>
                <w:b w:val="false"/>
                <w:bCs w:val="false"/>
              </w:rPr>
              <w:t xml:space="preserve">IFTA Q3 return</w:t>
            </w:r>
          </w:p>
        </w:tc>
        <w:tc>
          <w:tcPr>
            <w:tcW w:type="pct" w:w="33%"/>
          </w:tcPr>
          <w:p>
            <w:r>
              <w:rPr>
                <w:b w:val="false"/>
                <w:bCs w:val="false"/>
              </w:rPr>
              <w:t xml:space="preserve">October 31</w:t>
            </w:r>
          </w:p>
        </w:tc>
        <w:tc>
          <w:tcPr>
            <w:tcW w:type="pct" w:w="33%"/>
          </w:tcPr>
          <w:p>
            <w:r>
              <w:rPr>
                <w:b w:val="false"/>
                <w:bCs w:val="false"/>
              </w:rPr>
              <w:t xml:space="preserve"> </w:t>
            </w:r>
          </w:p>
        </w:tc>
      </w:tr>
      <w:tr>
        <w:tc>
          <w:tcPr>
            <w:tcW w:type="pct" w:w="33%"/>
          </w:tcPr>
          <w:p>
            <w:r>
              <w:rPr>
                <w:b w:val="false"/>
                <w:bCs w:val="false"/>
              </w:rPr>
              <w:t xml:space="preserve">IFTA licence renewal</w:t>
            </w:r>
          </w:p>
        </w:tc>
        <w:tc>
          <w:tcPr>
            <w:tcW w:type="pct" w:w="33%"/>
          </w:tcPr>
          <w:p>
            <w:r>
              <w:rPr>
                <w:b w:val="false"/>
                <w:bCs w:val="false"/>
              </w:rPr>
              <w:t xml:space="preserve">December 31</w:t>
            </w:r>
          </w:p>
        </w:tc>
        <w:tc>
          <w:tcPr>
            <w:tcW w:type="pct" w:w="33%"/>
          </w:tcPr>
          <w:p>
            <w:r>
              <w:rPr>
                <w:b w:val="false"/>
                <w:bCs w:val="false"/>
              </w:rPr>
              <w:t xml:space="preserve">Base-state application; decal grace to end of February</w:t>
            </w:r>
          </w:p>
        </w:tc>
      </w:tr>
    </w:tbl>
    <w:p/>
    <w:p>
      <w:pPr>
        <w:pStyle w:val="Heading2"/>
        <w:spacing w:after="120" w:before="280"/>
      </w:pPr>
      <w:r>
        <w:t xml:space="preserve">Deadlines you compute from your own records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8EEF9"/>
          </w:tcPr>
          <w:p>
            <w:r>
              <w:rPr>
                <w:b/>
                <w:bCs/>
              </w:rPr>
              <w:t xml:space="preserve">Deadline</w:t>
            </w:r>
          </w:p>
        </w:tc>
        <w:tc>
          <w:tcPr>
            <w:tcW w:type="pct" w:w="33%"/>
            <w:shd w:fill="E8EEF9"/>
          </w:tcPr>
          <w:p>
            <w:r>
              <w:rPr>
                <w:b/>
                <w:bCs/>
              </w:rPr>
              <w:t xml:space="preserve">How to set the date</w:t>
            </w:r>
          </w:p>
        </w:tc>
        <w:tc>
          <w:tcPr>
            <w:tcW w:type="pct" w:w="33%"/>
            <w:shd w:fill="E8EEF9"/>
          </w:tcPr>
          <w:p>
            <w:r>
              <w:rPr>
                <w:b/>
                <w:bCs/>
              </w:rPr>
              <w:t xml:space="preserve">Your date</w:t>
            </w:r>
          </w:p>
        </w:tc>
      </w:tr>
      <w:tr>
        <w:tc>
          <w:tcPr>
            <w:tcW w:type="pct" w:w="33%"/>
          </w:tcPr>
          <w:p>
            <w:r>
              <w:rPr>
                <w:b w:val="false"/>
                <w:bCs w:val="false"/>
              </w:rPr>
              <w:t xml:space="preserve">MCS-150 biennial update</w:t>
            </w:r>
          </w:p>
        </w:tc>
        <w:tc>
          <w:tcPr>
            <w:tcW w:type="pct" w:w="33%"/>
          </w:tcPr>
          <w:p>
            <w:r>
              <w:rPr>
                <w:b w:val="false"/>
                <w:bCs w:val="false"/>
              </w:rPr>
              <w:t xml:space="preserve">Last digit of USDOT number = month (1=Jan … 9=Sep, 0=Oct); second-to-last digit odd = odd years, even = even years; due end of that month</w:t>
            </w:r>
          </w:p>
        </w:tc>
        <w:tc>
          <w:tcPr>
            <w:tcW w:type="pct" w:w="33%"/>
          </w:tcPr>
          <w:p>
            <w:r>
              <w:rPr>
                <w:b w:val="false"/>
                <w:bCs w:val="false"/>
              </w:rPr>
              <w:t xml:space="preserve"> </w:t>
            </w:r>
          </w:p>
        </w:tc>
      </w:tr>
      <w:tr>
        <w:tc>
          <w:tcPr>
            <w:tcW w:type="pct" w:w="33%"/>
          </w:tcPr>
          <w:p>
            <w:r>
              <w:rPr>
                <w:b w:val="false"/>
                <w:bCs w:val="false"/>
              </w:rPr>
              <w:t xml:space="preserve">IRP renewal</w:t>
            </w:r>
          </w:p>
        </w:tc>
        <w:tc>
          <w:tcPr>
            <w:tcW w:type="pct" w:w="33%"/>
          </w:tcPr>
          <w:p>
            <w:r>
              <w:rPr>
                <w:b w:val="false"/>
                <w:bCs w:val="false"/>
              </w:rPr>
              <w:t xml:space="preserve">Base-state cycle — the expiry month on the cab card</w:t>
            </w:r>
          </w:p>
        </w:tc>
        <w:tc>
          <w:tcPr>
            <w:tcW w:type="pct" w:w="33%"/>
          </w:tcPr>
          <w:p>
            <w:r>
              <w:rPr>
                <w:b w:val="false"/>
                <w:bCs w:val="false"/>
              </w:rPr>
              <w:t xml:space="preserve"> </w:t>
            </w:r>
          </w:p>
        </w:tc>
      </w:tr>
      <w:tr>
        <w:tc>
          <w:tcPr>
            <w:tcW w:type="pct" w:w="33%"/>
          </w:tcPr>
          <w:p>
            <w:r>
              <w:rPr>
                <w:b w:val="false"/>
                <w:bCs w:val="false"/>
              </w:rPr>
              <w:t xml:space="preserve">Annual vehicle inspection (each unit, incl. trailer)</w:t>
            </w:r>
          </w:p>
        </w:tc>
        <w:tc>
          <w:tcPr>
            <w:tcW w:type="pct" w:w="33%"/>
          </w:tcPr>
          <w:p>
            <w:r>
              <w:rPr>
                <w:b w:val="false"/>
                <w:bCs w:val="false"/>
              </w:rPr>
              <w:t xml:space="preserve">Within 12 months of the last inspection date</w:t>
            </w:r>
          </w:p>
        </w:tc>
        <w:tc>
          <w:tcPr>
            <w:tcW w:type="pct" w:w="33%"/>
          </w:tcPr>
          <w:p>
            <w:r>
              <w:rPr>
                <w:b w:val="false"/>
                <w:bCs w:val="false"/>
              </w:rPr>
              <w:t xml:space="preserve"> </w:t>
            </w:r>
          </w:p>
        </w:tc>
      </w:tr>
      <w:tr>
        <w:tc>
          <w:tcPr>
            <w:tcW w:type="pct" w:w="33%"/>
          </w:tcPr>
          <w:p>
            <w:r>
              <w:rPr>
                <w:b w:val="false"/>
                <w:bCs w:val="false"/>
              </w:rPr>
              <w:t xml:space="preserve">Medical Examiner's Certificate</w:t>
            </w:r>
          </w:p>
        </w:tc>
        <w:tc>
          <w:tcPr>
            <w:tcW w:type="pct" w:w="33%"/>
          </w:tcPr>
          <w:p>
            <w:r>
              <w:rPr>
                <w:b w:val="false"/>
                <w:bCs w:val="false"/>
              </w:rPr>
              <w:t xml:space="preserve">Expiry printed on the card (max 24 months; often shorter); CDL holders also submit to the state</w:t>
            </w:r>
          </w:p>
        </w:tc>
        <w:tc>
          <w:tcPr>
            <w:tcW w:type="pct" w:w="33%"/>
          </w:tcPr>
          <w:p>
            <w:r>
              <w:rPr>
                <w:b w:val="false"/>
                <w:bCs w:val="false"/>
              </w:rPr>
              <w:t xml:space="preserve"> </w:t>
            </w:r>
          </w:p>
        </w:tc>
      </w:tr>
      <w:tr>
        <w:tc>
          <w:tcPr>
            <w:tcW w:type="pct" w:w="33%"/>
          </w:tcPr>
          <w:p>
            <w:r>
              <w:rPr>
                <w:b w:val="false"/>
                <w:bCs w:val="false"/>
              </w:rPr>
              <w:t xml:space="preserve">CDL / driver's licence expiry</w:t>
            </w:r>
          </w:p>
        </w:tc>
        <w:tc>
          <w:tcPr>
            <w:tcW w:type="pct" w:w="33%"/>
          </w:tcPr>
          <w:p>
            <w:r>
              <w:rPr>
                <w:b w:val="false"/>
                <w:bCs w:val="false"/>
              </w:rPr>
              <w:t xml:space="preserve">Printed on the licence</w:t>
            </w:r>
          </w:p>
        </w:tc>
        <w:tc>
          <w:tcPr>
            <w:tcW w:type="pct" w:w="33%"/>
          </w:tcPr>
          <w:p>
            <w:r>
              <w:rPr>
                <w:b w:val="false"/>
                <w:bCs w:val="false"/>
              </w:rPr>
              <w:t xml:space="preserve"> </w:t>
            </w:r>
          </w:p>
        </w:tc>
      </w:tr>
      <w:tr>
        <w:tc>
          <w:tcPr>
            <w:tcW w:type="pct" w:w="33%"/>
          </w:tcPr>
          <w:p>
            <w:r>
              <w:rPr>
                <w:b w:val="false"/>
                <w:bCs w:val="false"/>
              </w:rPr>
              <w:t xml:space="preserve">Annual MVR review (49 CFR 391.25)</w:t>
            </w:r>
          </w:p>
        </w:tc>
        <w:tc>
          <w:tcPr>
            <w:tcW w:type="pct" w:w="33%"/>
          </w:tcPr>
          <w:p>
            <w:r>
              <w:rPr>
                <w:b w:val="false"/>
                <w:bCs w:val="false"/>
              </w:rPr>
              <w:t xml:space="preserve">Every 12 months from the last review</w:t>
            </w:r>
          </w:p>
        </w:tc>
        <w:tc>
          <w:tcPr>
            <w:tcW w:type="pct" w:w="33%"/>
          </w:tcPr>
          <w:p>
            <w:r>
              <w:rPr>
                <w:b w:val="false"/>
                <w:bCs w:val="false"/>
              </w:rPr>
              <w:t xml:space="preserve"> </w:t>
            </w:r>
          </w:p>
        </w:tc>
      </w:tr>
      <w:tr>
        <w:tc>
          <w:tcPr>
            <w:tcW w:type="pct" w:w="33%"/>
          </w:tcPr>
          <w:p>
            <w:r>
              <w:rPr>
                <w:b w:val="false"/>
                <w:bCs w:val="false"/>
              </w:rPr>
              <w:t xml:space="preserve">Clearinghouse annual query (each CDL driver)</w:t>
            </w:r>
          </w:p>
        </w:tc>
        <w:tc>
          <w:tcPr>
            <w:tcW w:type="pct" w:w="33%"/>
          </w:tcPr>
          <w:p>
            <w:r>
              <w:rPr>
                <w:b w:val="false"/>
                <w:bCs w:val="false"/>
              </w:rPr>
              <w:t xml:space="preserve">Every 12 months from the last query</w:t>
            </w:r>
          </w:p>
        </w:tc>
        <w:tc>
          <w:tcPr>
            <w:tcW w:type="pct" w:w="33%"/>
          </w:tcPr>
          <w:p>
            <w:r>
              <w:rPr>
                <w:b w:val="false"/>
                <w:bCs w:val="false"/>
              </w:rPr>
              <w:t xml:space="preserve"> </w:t>
            </w:r>
          </w:p>
        </w:tc>
      </w:tr>
      <w:tr>
        <w:tc>
          <w:tcPr>
            <w:tcW w:type="pct" w:w="33%"/>
          </w:tcPr>
          <w:p>
            <w:r>
              <w:rPr>
                <w:b w:val="false"/>
                <w:bCs w:val="false"/>
              </w:rPr>
              <w:t xml:space="preserve">Insurance policy renewal</w:t>
            </w:r>
          </w:p>
        </w:tc>
        <w:tc>
          <w:tcPr>
            <w:tcW w:type="pct" w:w="33%"/>
          </w:tcPr>
          <w:p>
            <w:r>
              <w:rPr>
                <w:b w:val="false"/>
                <w:bCs w:val="false"/>
              </w:rPr>
              <w:t xml:space="preserve">Policy expiry; confirm the insurer refiles with FMCSA</w:t>
            </w:r>
          </w:p>
        </w:tc>
        <w:tc>
          <w:tcPr>
            <w:tcW w:type="pct" w:w="33%"/>
          </w:tcPr>
          <w:p>
            <w:r>
              <w:rPr>
                <w:b w:val="false"/>
                <w:bCs w:val="false"/>
              </w:rPr>
              <w:t xml:space="preserve"> </w:t>
            </w:r>
          </w:p>
        </w:tc>
      </w:tr>
      <w:tr>
        <w:tc>
          <w:tcPr>
            <w:tcW w:type="pct" w:w="33%"/>
          </w:tcPr>
          <w:p>
            <w:r>
              <w:rPr>
                <w:b w:val="false"/>
                <w:bCs w:val="false"/>
              </w:rPr>
              <w:t xml:space="preserve">State weight-distance / highway-use tax returns</w:t>
            </w:r>
          </w:p>
        </w:tc>
        <w:tc>
          <w:tcPr>
            <w:tcW w:type="pct" w:w="33%"/>
          </w:tcPr>
          <w:p>
            <w:r>
              <w:rPr>
                <w:b w:val="false"/>
                <w:bCs w:val="false"/>
              </w:rPr>
              <w:t xml:space="preserve">Quarterly or per state schedule (e.g. NY, KY, NM, OR programs) — confirm each</w:t>
            </w:r>
          </w:p>
        </w:tc>
        <w:tc>
          <w:tcPr>
            <w:tcW w:type="pct" w:w="33%"/>
          </w:tcPr>
          <w:p>
            <w:r>
              <w:rPr>
                <w:b w:val="false"/>
                <w:bCs w:val="false"/>
              </w:rPr>
              <w:t xml:space="preserve"> </w:t>
            </w:r>
          </w:p>
        </w:tc>
      </w:tr>
      <w:tr>
        <w:tc>
          <w:tcPr>
            <w:tcW w:type="pct" w:w="33%"/>
          </w:tcPr>
          <w:p>
            <w:r>
              <w:rPr>
                <w:b w:val="false"/>
                <w:bCs w:val="false"/>
              </w:rPr>
              <w:t xml:space="preserve">ELD provider subscription and data backup</w:t>
            </w:r>
          </w:p>
        </w:tc>
        <w:tc>
          <w:tcPr>
            <w:tcW w:type="pct" w:w="33%"/>
          </w:tcPr>
          <w:p>
            <w:r>
              <w:rPr>
                <w:b w:val="false"/>
                <w:bCs w:val="false"/>
              </w:rPr>
              <w:t xml:space="preserve">Contract renewal; export 6 months of RODS regularly</w:t>
            </w:r>
          </w:p>
        </w:tc>
        <w:tc>
          <w:tcPr>
            <w:tcW w:type="pct" w:w="33%"/>
          </w:tcPr>
          <w:p>
            <w:r>
              <w:rPr>
                <w:b w:val="false"/>
                <w:bCs w:val="false"/>
              </w:rPr>
              <w:t xml:space="preserve"> </w:t>
            </w:r>
          </w:p>
        </w:tc>
      </w:tr>
      <w:tr>
        <w:tc>
          <w:tcPr>
            <w:tcW w:type="pct" w:w="33%"/>
          </w:tcPr>
          <w:p>
            <w:r>
              <w:rPr>
                <w:b w:val="false"/>
                <w:bCs w:val="false"/>
              </w:rPr>
              <w:t xml:space="preserve">Hazmat registration / training refresh (if applicable)</w:t>
            </w:r>
          </w:p>
        </w:tc>
        <w:tc>
          <w:tcPr>
            <w:tcW w:type="pct" w:w="33%"/>
          </w:tcPr>
          <w:p>
            <w:r>
              <w:rPr>
                <w:b w:val="false"/>
                <w:bCs w:val="false"/>
              </w:rPr>
              <w:t xml:space="preserve">PHMSA registration annually or multi-year; training at least every 3 years</w:t>
            </w:r>
          </w:p>
        </w:tc>
        <w:tc>
          <w:tcPr>
            <w:tcW w:type="pct" w:w="33%"/>
          </w:tcPr>
          <w:p>
            <w:r>
              <w:rPr>
                <w:b w:val="false"/>
                <w:bCs w:val="false"/>
              </w:rPr>
              <w:t xml:space="preserve"> </w:t>
            </w:r>
          </w:p>
        </w:tc>
      </w:tr>
    </w:tbl>
    <w:p/>
    <w:p>
      <w:pPr>
        <w:pStyle w:val="Heading2"/>
        <w:spacing w:after="120" w:before="280"/>
      </w:pPr>
      <w:r>
        <w:t xml:space="preserve">Rolling obligations with no fixed date (put a monthly reminder on them)</w:t>
      </w:r>
    </w:p>
    <w:p>
      <w:pPr>
        <w:spacing w:after="90"/>
        <w:ind w:left="360" w:hanging="360"/>
      </w:pPr>
      <w:r>
        <w:t xml:space="preserve">☐  </w:t>
      </w:r>
      <w:r>
        <w:rPr>
          <w:b/>
          <w:bCs/>
        </w:rPr>
        <w:t xml:space="preserve">Random drug and alcohol testing:</w:t>
      </w:r>
      <w:r>
        <w:rPr>
          <w:b w:val="false"/>
          <w:bCs w:val="false"/>
        </w:rPr>
        <w:t xml:space="preserve"> stay in the consortium pool; respond to selections immediately; keep the selection notices.</w:t>
      </w:r>
    </w:p>
    <w:p>
      <w:pPr>
        <w:spacing w:after="90"/>
        <w:ind w:left="360" w:hanging="360"/>
      </w:pPr>
      <w:r>
        <w:t xml:space="preserve">☐  </w:t>
      </w:r>
      <w:r>
        <w:rPr>
          <w:b/>
          <w:bCs/>
        </w:rPr>
        <w:t xml:space="preserve">DVIRs:</w:t>
      </w:r>
      <w:r>
        <w:rPr>
          <w:b w:val="false"/>
          <w:bCs w:val="false"/>
        </w:rPr>
        <w:t xml:space="preserve"> keep three months rolling; certify repairs.</w:t>
      </w:r>
    </w:p>
    <w:p>
      <w:pPr>
        <w:spacing w:after="90"/>
        <w:ind w:left="360" w:hanging="360"/>
      </w:pPr>
      <w:r>
        <w:t xml:space="preserve">☐  </w:t>
      </w:r>
      <w:r>
        <w:rPr>
          <w:b/>
          <w:bCs/>
        </w:rPr>
        <w:t xml:space="preserve">Hours-of-service records:</w:t>
      </w:r>
      <w:r>
        <w:rPr>
          <w:b w:val="false"/>
          <w:bCs w:val="false"/>
        </w:rPr>
        <w:t xml:space="preserve"> six months rolling, plus supporting documents.</w:t>
      </w:r>
    </w:p>
    <w:p>
      <w:pPr>
        <w:spacing w:after="90"/>
        <w:ind w:left="360" w:hanging="360"/>
      </w:pPr>
      <w:r>
        <w:t xml:space="preserve">☐  </w:t>
      </w:r>
      <w:r>
        <w:rPr>
          <w:b/>
          <w:bCs/>
        </w:rPr>
        <w:t xml:space="preserve">Roadside inspection reports:</w:t>
      </w:r>
      <w:r>
        <w:rPr>
          <w:b w:val="false"/>
          <w:bCs w:val="false"/>
        </w:rPr>
        <w:t xml:space="preserve"> sign and return within 15 days; keep 12 months.</w:t>
      </w:r>
    </w:p>
    <w:p>
      <w:pPr>
        <w:spacing w:after="90"/>
        <w:ind w:left="360" w:hanging="360"/>
      </w:pPr>
      <w:r>
        <w:t xml:space="preserve">☐  </w:t>
      </w:r>
      <w:r>
        <w:rPr>
          <w:b/>
          <w:bCs/>
        </w:rPr>
        <w:t xml:space="preserve">MCS-150 changes:</w:t>
      </w:r>
      <w:r>
        <w:rPr>
          <w:b w:val="false"/>
          <w:bCs w:val="false"/>
        </w:rPr>
        <w:t xml:space="preserve"> update promptly on any change of name, address, operation or fleet — do not wait for the biennial.</w:t>
      </w:r>
    </w:p>
    <w:p>
      <w:pPr>
        <w:spacing w:after="90"/>
        <w:ind w:left="360" w:hanging="360"/>
      </w:pPr>
      <w:r>
        <w:t xml:space="preserve">☐  </w:t>
      </w:r>
      <w:r>
        <w:rPr>
          <w:b/>
          <w:bCs/>
        </w:rPr>
        <w:t xml:space="preserve">Accident register:</w:t>
      </w:r>
      <w:r>
        <w:rPr>
          <w:b w:val="false"/>
          <w:bCs w:val="false"/>
        </w:rPr>
        <w:t xml:space="preserve"> record any recordable accident and keep three years.</w:t>
      </w:r>
    </w:p>
    <w:p>
      <w:pPr>
        <w:pStyle w:val="Heading2"/>
        <w:spacing w:after="120" w:before="280"/>
      </w:pPr>
      <w:r>
        <w:t xml:space="preserve">Fill-in year planner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8EEF9"/>
          </w:tcPr>
          <w:p>
            <w:r>
              <w:rPr>
                <w:b/>
                <w:bCs/>
              </w:rPr>
              <w:t xml:space="preserve">Month</w:t>
            </w:r>
          </w:p>
        </w:tc>
        <w:tc>
          <w:tcPr>
            <w:tcW w:type="pct" w:w="25%"/>
            <w:shd w:fill="E8EEF9"/>
          </w:tcPr>
          <w:p>
            <w:r>
              <w:rPr>
                <w:b/>
                <w:bCs/>
              </w:rPr>
              <w:t xml:space="preserve">Fixed deadlines</w:t>
            </w:r>
          </w:p>
        </w:tc>
        <w:tc>
          <w:tcPr>
            <w:tcW w:type="pct" w:w="25%"/>
            <w:shd w:fill="E8EEF9"/>
          </w:tcPr>
          <w:p>
            <w:r>
              <w:rPr>
                <w:b/>
                <w:bCs/>
              </w:rPr>
              <w:t xml:space="preserve">My computed deadlines</w:t>
            </w:r>
          </w:p>
        </w:tc>
        <w:tc>
          <w:tcPr>
            <w:tcW w:type="pct" w:w="25%"/>
            <w:shd w:fill="E8EEF9"/>
          </w:tcPr>
          <w:p>
            <w:r>
              <w:rPr>
                <w:b/>
                <w:bCs/>
              </w:rPr>
              <w:t xml:space="preserve">Done / date</w:t>
            </w:r>
          </w:p>
        </w:tc>
      </w:tr>
      <w:tr>
        <w:tc>
          <w:tcPr>
            <w:tcW w:type="pct" w:w="25%"/>
          </w:tcPr>
          <w:p>
            <w:r>
              <w:rPr>
                <w:b w:val="false"/>
                <w:bCs w:val="false"/>
              </w:rPr>
              <w:t xml:space="preserve">January</w:t>
            </w:r>
          </w:p>
        </w:tc>
        <w:tc>
          <w:tcPr>
            <w:tcW w:type="pct" w:w="25%"/>
          </w:tcPr>
          <w:p>
            <w:r>
              <w:rPr>
                <w:b w:val="false"/>
                <w:bCs w:val="false"/>
              </w:rPr>
              <w:t xml:space="preserve">IFTA Q4 (31st)</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February</w:t>
            </w:r>
          </w:p>
        </w:tc>
        <w:tc>
          <w:tcPr>
            <w:tcW w:type="pct" w:w="25%"/>
          </w:tcPr>
          <w:p>
            <w:r>
              <w:rPr>
                <w:b w:val="false"/>
                <w:bCs w:val="false"/>
              </w:rPr>
              <w:t xml:space="preserve">Decals displayed by month-end</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March</w:t>
            </w:r>
          </w:p>
        </w:tc>
        <w:tc>
          <w:tcPr>
            <w:tcW w:type="pct" w:w="25%"/>
          </w:tcPr>
          <w:p>
            <w:r>
              <w:rPr>
                <w:b w:val="false"/>
                <w:bCs w:val="false"/>
              </w:rPr>
              <w:t xml:space="preserve">(MIS report 15th if requested)</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April</w:t>
            </w:r>
          </w:p>
        </w:tc>
        <w:tc>
          <w:tcPr>
            <w:tcW w:type="pct" w:w="25%"/>
          </w:tcPr>
          <w:p>
            <w:r>
              <w:rPr>
                <w:b w:val="false"/>
                <w:bCs w:val="false"/>
              </w:rPr>
              <w:t xml:space="preserve">IFTA Q1 (30th)</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May</w:t>
            </w:r>
          </w:p>
        </w:tc>
        <w:tc>
          <w:tcPr>
            <w:tcW w:type="pct" w:w="25%"/>
          </w:tcPr>
          <w:p>
            <w:r>
              <w:rPr>
                <w:b w:val="false"/>
                <w:bCs w:val="false"/>
              </w:rPr>
              <w:t xml:space="preserve"> </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June</w:t>
            </w:r>
          </w:p>
        </w:tc>
        <w:tc>
          <w:tcPr>
            <w:tcW w:type="pct" w:w="25%"/>
          </w:tcPr>
          <w:p>
            <w:r>
              <w:rPr>
                <w:b w:val="false"/>
                <w:bCs w:val="false"/>
              </w:rPr>
              <w:t xml:space="preserve"> </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July</w:t>
            </w:r>
          </w:p>
        </w:tc>
        <w:tc>
          <w:tcPr>
            <w:tcW w:type="pct" w:w="25%"/>
          </w:tcPr>
          <w:p>
            <w:r>
              <w:rPr>
                <w:b w:val="false"/>
                <w:bCs w:val="false"/>
              </w:rPr>
              <w:t xml:space="preserve">IFTA Q2 (31st)</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August</w:t>
            </w:r>
          </w:p>
        </w:tc>
        <w:tc>
          <w:tcPr>
            <w:tcW w:type="pct" w:w="25%"/>
          </w:tcPr>
          <w:p>
            <w:r>
              <w:rPr>
                <w:b w:val="false"/>
                <w:bCs w:val="false"/>
              </w:rPr>
              <w:t xml:space="preserve">HVUT 2290 (31st)</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September</w:t>
            </w:r>
          </w:p>
        </w:tc>
        <w:tc>
          <w:tcPr>
            <w:tcW w:type="pct" w:w="25%"/>
          </w:tcPr>
          <w:p>
            <w:r>
              <w:rPr>
                <w:b w:val="false"/>
                <w:bCs w:val="false"/>
              </w:rPr>
              <w:t xml:space="preserve"> </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October</w:t>
            </w:r>
          </w:p>
        </w:tc>
        <w:tc>
          <w:tcPr>
            <w:tcW w:type="pct" w:w="25%"/>
          </w:tcPr>
          <w:p>
            <w:r>
              <w:rPr>
                <w:b w:val="false"/>
                <w:bCs w:val="false"/>
              </w:rPr>
              <w:t xml:space="preserve">IFTA Q3 (31st); UCR opens</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November</w:t>
            </w:r>
          </w:p>
        </w:tc>
        <w:tc>
          <w:tcPr>
            <w:tcW w:type="pct" w:w="25%"/>
          </w:tcPr>
          <w:p>
            <w:r>
              <w:rPr>
                <w:b w:val="false"/>
                <w:bCs w:val="false"/>
              </w:rPr>
              <w:t xml:space="preserve"> </w:t>
            </w:r>
          </w:p>
        </w:tc>
        <w:tc>
          <w:tcPr>
            <w:tcW w:type="pct" w:w="25%"/>
          </w:tcPr>
          <w:p>
            <w:r>
              <w:rPr>
                <w:b w:val="false"/>
                <w:bCs w:val="false"/>
              </w:rPr>
              <w:t xml:space="preserve"> </w:t>
            </w:r>
          </w:p>
        </w:tc>
        <w:tc>
          <w:tcPr>
            <w:tcW w:type="pct" w:w="25%"/>
          </w:tcPr>
          <w:p>
            <w:r>
              <w:rPr>
                <w:b w:val="false"/>
                <w:bCs w:val="false"/>
              </w:rPr>
              <w:t xml:space="preserve"> </w:t>
            </w:r>
          </w:p>
        </w:tc>
      </w:tr>
      <w:tr>
        <w:tc>
          <w:tcPr>
            <w:tcW w:type="pct" w:w="25%"/>
          </w:tcPr>
          <w:p>
            <w:r>
              <w:rPr>
                <w:b w:val="false"/>
                <w:bCs w:val="false"/>
              </w:rPr>
              <w:t xml:space="preserve">December</w:t>
            </w:r>
          </w:p>
        </w:tc>
        <w:tc>
          <w:tcPr>
            <w:tcW w:type="pct" w:w="25%"/>
          </w:tcPr>
          <w:p>
            <w:r>
              <w:rPr>
                <w:b w:val="false"/>
                <w:bCs w:val="false"/>
              </w:rPr>
              <w:t xml:space="preserve">UCR (31st); IFTA licence renewal (31st)</w:t>
            </w:r>
          </w:p>
        </w:tc>
        <w:tc>
          <w:tcPr>
            <w:tcW w:type="pct" w:w="25%"/>
          </w:tcPr>
          <w:p>
            <w:r>
              <w:rPr>
                <w:b w:val="false"/>
                <w:bCs w:val="false"/>
              </w:rPr>
              <w:t xml:space="preserve"> </w:t>
            </w:r>
          </w:p>
        </w:tc>
        <w:tc>
          <w:tcPr>
            <w:tcW w:type="pct" w:w="25%"/>
          </w:tcPr>
          <w:p>
            <w:r>
              <w:rPr>
                <w:b w:val="false"/>
                <w:bCs w:val="false"/>
              </w:rPr>
              <w:t xml:space="preserve"> </w:t>
            </w:r>
          </w:p>
        </w:tc>
      </w:tr>
    </w:tbl>
    <w:p/>
    <w:p>
      <w:pPr>
        <w:pBdr>
          <w:left w:val="single" w:color="F59E0B" w:sz="18" w:space="6"/>
        </w:pBdr>
        <w:spacing w:after="120"/>
        <w:ind w:left="200"/>
      </w:pPr>
      <w:r>
        <w:rPr>
          <w:b/>
          <w:bCs/>
        </w:rPr>
        <w:t xml:space="preserve">⚠️ Set three reminders per deadline, not one.</w:t>
      </w:r>
      <w:r>
        <w:rPr>
          <w:b w:val="false"/>
          <w:bCs w:val="false"/>
        </w:rPr>
        <w:t xml:space="preserve"> A 60-day reminder lets you book the medical exam or gather MCS-150 figures; 30 days is when to actually file; 7 days is the last chance before a lapse. Single reminders on the due date are how one-truck operations end up inactive.</w:t>
      </w:r>
    </w:p>
    <w:p/>
    <w:p>
      <w:r>
        <w:rPr>
          <w:i/>
          <w:iCs/>
          <w:color w:val="666666"/>
          <w:sz w:val="17"/>
          <w:szCs w:val="17"/>
        </w:rPr>
        <w:t xml:space="preserve">General guidance for motor carriers, not legal advice. FMCSA rules, fees and state procedures change — verify current requirements with FMCSA (fmcsa.dot.gov) and your state agencies before relying on any item here. FleetClear is not affiliated with the FMCSA or any government agency.</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FleetClear — fleetclear.9gg.app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One-Truck Operation DOT Deadline Calendar (Free Template)</dc:title>
  <dc:creator>FleetClear</dc:creator>
  <cp:lastModifiedBy>Un-named</cp:lastModifiedBy>
  <cp:revision>1</cp:revision>
  <dcterms:created xsi:type="dcterms:W3CDTF">2026-09-07T14:35:03.428Z</dcterms:created>
  <dcterms:modified xsi:type="dcterms:W3CDTF">2026-09-07T14:35:03.428Z</dcterms:modified>
</cp:coreProperties>
</file>

<file path=docProps/custom.xml><?xml version="1.0" encoding="utf-8"?>
<Properties xmlns="http://schemas.openxmlformats.org/officeDocument/2006/custom-properties" xmlns:vt="http://schemas.openxmlformats.org/officeDocument/2006/docPropsVTypes"/>
</file>