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IRP Apportioned Plates: Do You Need Them? (Free Decision Flowchart)</w:t>
      </w:r>
    </w:p>
    <w:p>
      <w:pPr>
        <w:spacing w:after="240"/>
      </w:pPr>
      <w:r>
        <w:rPr>
          <w:color w:val="666666"/>
          <w:sz w:val="18"/>
          <w:szCs w:val="18"/>
        </w:rPr>
        <w:t xml:space="preserve">FleetClear · https://fleetclear.9gg.app/templates/irp-apportioned-plates-flowchart.html · 2026-09-07</w:t>
      </w:r>
    </w:p>
    <w:p>
      <w:pPr>
        <w:spacing w:after="120"/>
      </w:pPr>
      <w:r>
        <w:rPr>
          <w:b w:val="false"/>
          <w:bCs w:val="false"/>
        </w:rPr>
        <w:t xml:space="preserve">The International Registration Plan (IRP) lets one set of apportioned plates cover a truck in every U.S. state and Canadian province it runs in, with fees split by the miles driven in each. Whether you need it comes down to a few objective tests — weight, axles, and whether you cross jurisdiction lines — plus a judgement call about how often. This flowchart walks the questions in order, then lists what your base jurisdiction will ask for and the records an IRP audit expects. Free printable Word version below — just tell us where to send it.</w:t>
      </w:r>
    </w:p>
    <w:p>
      <w:pPr>
        <w:pStyle w:val="Heading2"/>
        <w:spacing w:after="120" w:before="280"/>
      </w:pPr>
      <w:r>
        <w:t xml:space="preserve">The decision flowchart — answer in order</w:t>
      </w:r>
    </w:p>
    <w:p>
      <w:pPr>
        <w:spacing w:after="90"/>
        <w:ind w:left="360" w:hanging="360"/>
      </w:pPr>
      <w:r>
        <w:rPr>
          <w:b/>
          <w:bCs/>
        </w:rPr>
        <w:t xml:space="preserve">1.  </w:t>
      </w:r>
      <w:r>
        <w:rPr>
          <w:b/>
          <w:bCs/>
        </w:rPr>
        <w:t xml:space="preserve">Does the vehicle ever leave your base state (or province)?</w:t>
      </w:r>
      <w:r>
        <w:rPr>
          <w:b w:val="false"/>
          <w:bCs w:val="false"/>
        </w:rPr>
        <w:t xml:space="preserve"> No → IRP does not apply; register with your state as an intrastate vehicle. Yes → question 2.</w:t>
      </w:r>
    </w:p>
    <w:p>
      <w:pPr>
        <w:spacing w:after="90"/>
        <w:ind w:left="360" w:hanging="360"/>
      </w:pPr>
      <w:r>
        <w:rPr>
          <w:b/>
          <w:bCs/>
        </w:rPr>
        <w:t xml:space="preserve">2.  </w:t>
      </w:r>
      <w:r>
        <w:rPr>
          <w:b/>
          <w:bCs/>
        </w:rPr>
        <w:t xml:space="preserve">Is it a power unit (truck or tractor)?</w:t>
      </w:r>
      <w:r>
        <w:rPr>
          <w:b w:val="false"/>
          <w:bCs w:val="false"/>
        </w:rPr>
        <w:t xml:space="preserve"> Trailers and semi-trailers are not apportioned under IRP — they are plated by their base jurisdiction. Yes → question 3.</w:t>
      </w:r>
    </w:p>
    <w:p>
      <w:pPr>
        <w:spacing w:after="90"/>
        <w:ind w:left="360" w:hanging="360"/>
      </w:pPr>
      <w:r>
        <w:rPr>
          <w:b/>
          <w:bCs/>
        </w:rPr>
        <w:t xml:space="preserve">3.  </w:t>
      </w:r>
      <w:r>
        <w:rPr>
          <w:b/>
          <w:bCs/>
        </w:rPr>
        <w:t xml:space="preserve">Does it meet any of these?</w:t>
      </w:r>
      <w:r>
        <w:rPr>
          <w:b w:val="false"/>
          <w:bCs w:val="false"/>
        </w:rPr>
        <w:t xml:space="preserve"> (a) two axles and gross vehicle weight or registered gross weight over 26,000 lb; (b) three or more axles, regardless of weight; (c) used in a combination whose combined gross weight exceeds 26,000 lb. Any yes → question 5. All no → question 4.</w:t>
      </w:r>
    </w:p>
    <w:p>
      <w:pPr>
        <w:spacing w:after="90"/>
        <w:ind w:left="360" w:hanging="360"/>
      </w:pPr>
      <w:r>
        <w:rPr>
          <w:b/>
          <w:bCs/>
        </w:rPr>
        <w:t xml:space="preserve">4.  </w:t>
      </w:r>
      <w:r>
        <w:rPr>
          <w:b/>
          <w:bCs/>
        </w:rPr>
        <w:t xml:space="preserve">Under-threshold vehicles:</w:t>
      </w:r>
      <w:r>
        <w:rPr>
          <w:b w:val="false"/>
          <w:bCs w:val="false"/>
        </w:rPr>
        <w:t xml:space="preserve"> you are not required to apportion, but IRP allows you to register lighter power units optionally. Otherwise, run on the base plate and confirm reciprocity with the states you enter. Stop here.</w:t>
      </w:r>
    </w:p>
    <w:p>
      <w:pPr>
        <w:spacing w:after="90"/>
        <w:ind w:left="360" w:hanging="360"/>
      </w:pPr>
      <w:r>
        <w:rPr>
          <w:b/>
          <w:bCs/>
        </w:rPr>
        <w:t xml:space="preserve">5.  </w:t>
      </w:r>
      <w:r>
        <w:rPr>
          <w:b/>
          <w:bCs/>
        </w:rPr>
        <w:t xml:space="preserve">Is the vehicle exempt?</w:t>
      </w:r>
      <w:r>
        <w:rPr>
          <w:b w:val="false"/>
          <w:bCs w:val="false"/>
        </w:rPr>
        <w:t xml:space="preserve"> Common IRP exemptions: recreational vehicles, government-owned vehicles, city pickup-and-delivery vehicles, buses used in chartered-party service (in some cases), and vehicles displaying restricted plates. If exempt → stop. If not → question 6.</w:t>
      </w:r>
    </w:p>
    <w:p>
      <w:pPr>
        <w:spacing w:after="90"/>
        <w:ind w:left="360" w:hanging="360"/>
      </w:pPr>
      <w:r>
        <w:rPr>
          <w:b/>
          <w:bCs/>
        </w:rPr>
        <w:t xml:space="preserve">6.  </w:t>
      </w:r>
      <w:r>
        <w:rPr>
          <w:b/>
          <w:bCs/>
        </w:rPr>
        <w:t xml:space="preserve">How often will it cross lines?</w:t>
      </w:r>
      <w:r>
        <w:rPr>
          <w:b w:val="false"/>
          <w:bCs w:val="false"/>
        </w:rPr>
        <w:t xml:space="preserve"> A handful of trips per year → compare the cost of </w:t>
      </w:r>
      <w:r>
        <w:rPr>
          <w:b/>
          <w:bCs/>
        </w:rPr>
        <w:t xml:space="preserve">trip permits</w:t>
      </w:r>
      <w:r>
        <w:rPr>
          <w:b w:val="false"/>
          <w:bCs w:val="false"/>
        </w:rPr>
        <w:t xml:space="preserve"> (per-trip, per-state, typically valid for a few days) against apportioned fees. Regular interstate operation → apportioned plates. Note: unpermitted, unapportioned travel can mean citations and impoundment at the first scale.</w:t>
      </w:r>
    </w:p>
    <w:p>
      <w:pPr>
        <w:pStyle w:val="Heading2"/>
        <w:spacing w:after="120" w:before="280"/>
      </w:pPr>
      <w:r>
        <w:t xml:space="preserve">Record your answers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tcPr>
          <w:p>
            <w:r>
              <w:rPr>
                <w:b/>
                <w:bCs/>
              </w:rPr>
              <w:t xml:space="preserve">Vehicle unit / VIN</w:t>
            </w:r>
          </w:p>
        </w:tc>
        <w:tc>
          <w:tcPr>
            <w:tcW w:type="pct" w:w="50%"/>
          </w:tcPr>
          <w:p>
            <w:r>
              <w:rPr>
                <w:b w:val="false"/>
                <w:bCs w:val="false"/>
              </w:rPr>
              <w:t xml:space="preserve">                                        </w:t>
            </w:r>
          </w:p>
        </w:tc>
      </w:tr>
      <w:tr>
        <w:tc>
          <w:tcPr>
            <w:tcW w:type="pct" w:w="50%"/>
          </w:tcPr>
          <w:p>
            <w:r>
              <w:rPr>
                <w:b/>
                <w:bCs/>
              </w:rPr>
              <w:t xml:space="preserve">Axles</w:t>
            </w:r>
          </w:p>
        </w:tc>
        <w:tc>
          <w:tcPr>
            <w:tcW w:type="pct" w:w="50%"/>
          </w:tcPr>
          <w:p>
            <w:r>
              <w:rPr>
                <w:b w:val="false"/>
                <w:bCs w:val="false"/>
              </w:rPr>
              <w:t xml:space="preserve">                                        </w:t>
            </w:r>
          </w:p>
        </w:tc>
      </w:tr>
      <w:tr>
        <w:tc>
          <w:tcPr>
            <w:tcW w:type="pct" w:w="50%"/>
          </w:tcPr>
          <w:p>
            <w:r>
              <w:rPr>
                <w:b/>
                <w:bCs/>
              </w:rPr>
              <w:t xml:space="preserve">GVW or registered gross weight</w:t>
            </w:r>
          </w:p>
        </w:tc>
        <w:tc>
          <w:tcPr>
            <w:tcW w:type="pct" w:w="50%"/>
          </w:tcPr>
          <w:p>
            <w:r>
              <w:rPr>
                <w:b w:val="false"/>
                <w:bCs w:val="false"/>
              </w:rPr>
              <w:t xml:space="preserve">                                        </w:t>
            </w:r>
          </w:p>
        </w:tc>
      </w:tr>
      <w:tr>
        <w:tc>
          <w:tcPr>
            <w:tcW w:type="pct" w:w="50%"/>
          </w:tcPr>
          <w:p>
            <w:r>
              <w:rPr>
                <w:b/>
                <w:bCs/>
              </w:rPr>
              <w:t xml:space="preserve">Combination weight (if pulling a trailer)</w:t>
            </w:r>
          </w:p>
        </w:tc>
        <w:tc>
          <w:tcPr>
            <w:tcW w:type="pct" w:w="50%"/>
          </w:tcPr>
          <w:p>
            <w:r>
              <w:rPr>
                <w:b w:val="false"/>
                <w:bCs w:val="false"/>
              </w:rPr>
              <w:t xml:space="preserve">                                        </w:t>
            </w:r>
          </w:p>
        </w:tc>
      </w:tr>
      <w:tr>
        <w:tc>
          <w:tcPr>
            <w:tcW w:type="pct" w:w="50%"/>
          </w:tcPr>
          <w:p>
            <w:r>
              <w:rPr>
                <w:b/>
                <w:bCs/>
              </w:rPr>
              <w:t xml:space="preserve">Jurisdictions expected this year</w:t>
            </w:r>
          </w:p>
        </w:tc>
        <w:tc>
          <w:tcPr>
            <w:tcW w:type="pct" w:w="50%"/>
          </w:tcPr>
          <w:p>
            <w:r>
              <w:rPr>
                <w:b w:val="false"/>
                <w:bCs w:val="false"/>
              </w:rPr>
              <w:t xml:space="preserve">                                        </w:t>
            </w:r>
          </w:p>
        </w:tc>
      </w:tr>
      <w:tr>
        <w:tc>
          <w:tcPr>
            <w:tcW w:type="pct" w:w="50%"/>
          </w:tcPr>
          <w:p>
            <w:r>
              <w:rPr>
                <w:b/>
                <w:bCs/>
              </w:rPr>
              <w:t xml:space="preserve">Estimated trips out of base state per year</w:t>
            </w:r>
          </w:p>
        </w:tc>
        <w:tc>
          <w:tcPr>
            <w:tcW w:type="pct" w:w="50%"/>
          </w:tcPr>
          <w:p>
            <w:r>
              <w:rPr>
                <w:b w:val="false"/>
                <w:bCs w:val="false"/>
              </w:rPr>
              <w:t xml:space="preserve">                                        </w:t>
            </w:r>
          </w:p>
        </w:tc>
      </w:tr>
      <w:tr>
        <w:tc>
          <w:tcPr>
            <w:tcW w:type="pct" w:w="50%"/>
          </w:tcPr>
          <w:p>
            <w:r>
              <w:rPr>
                <w:b/>
                <w:bCs/>
              </w:rPr>
              <w:t xml:space="preserve">Decision: apportion / trip permits / base plate only</w:t>
            </w:r>
          </w:p>
        </w:tc>
        <w:tc>
          <w:tcPr>
            <w:tcW w:type="pct" w:w="50%"/>
          </w:tcPr>
          <w:p>
            <w:r>
              <w:rPr>
                <w:b w:val="false"/>
                <w:bCs w:val="false"/>
              </w:rPr>
              <w:t xml:space="preserve">                                        </w:t>
            </w:r>
          </w:p>
        </w:tc>
      </w:tr>
    </w:tbl>
    <w:p/>
    <w:p>
      <w:pPr>
        <w:pStyle w:val="Heading2"/>
        <w:spacing w:after="120" w:before="280"/>
      </w:pPr>
      <w:r>
        <w:t xml:space="preserve">Choosing and satisfying your base jurisdiction</w:t>
      </w:r>
    </w:p>
    <w:p>
      <w:pPr>
        <w:spacing w:after="120"/>
      </w:pPr>
      <w:r>
        <w:rPr>
          <w:b w:val="false"/>
          <w:bCs w:val="false"/>
        </w:rPr>
        <w:t xml:space="preserve">Your base jurisdiction is where you have an </w:t>
      </w:r>
      <w:r>
        <w:rPr>
          <w:b/>
          <w:bCs/>
        </w:rPr>
        <w:t xml:space="preserve">established place of business</w:t>
      </w:r>
      <w:r>
        <w:rPr>
          <w:b w:val="false"/>
          <w:bCs w:val="false"/>
        </w:rPr>
        <w:t xml:space="preserve">, where the fleet accrues distance, and where operational records are kept or can be made available.</w:t>
      </w:r>
    </w:p>
    <w:p>
      <w:pPr>
        <w:spacing w:after="90"/>
        <w:ind w:left="360" w:hanging="360"/>
      </w:pPr>
      <w:r>
        <w:t xml:space="preserve">☐  </w:t>
      </w:r>
      <w:r>
        <w:rPr>
          <w:b w:val="false"/>
          <w:bCs w:val="false"/>
        </w:rPr>
        <w:t xml:space="preserve">Proof of established place of business: a physical structure with a street address (not just a mail drop), staffed during business hours, with business records — expect to show a lease/deed, utility bill, and tax filings.</w:t>
      </w:r>
    </w:p>
    <w:p>
      <w:pPr>
        <w:spacing w:after="90"/>
        <w:ind w:left="360" w:hanging="360"/>
      </w:pPr>
      <w:r>
        <w:t xml:space="preserve">☐  </w:t>
      </w:r>
      <w:r>
        <w:rPr>
          <w:b w:val="false"/>
          <w:bCs w:val="false"/>
        </w:rPr>
        <w:t xml:space="preserve">Proof of residence may be accepted instead for individuals or businesses that cannot meet the place-of-business test — rules vary; ask the base jurisdiction.</w:t>
      </w:r>
    </w:p>
    <w:p>
      <w:pPr>
        <w:spacing w:after="90"/>
        <w:ind w:left="360" w:hanging="360"/>
      </w:pPr>
      <w:r>
        <w:t xml:space="preserve">☐  </w:t>
      </w:r>
      <w:r>
        <w:rPr>
          <w:b w:val="false"/>
          <w:bCs w:val="false"/>
        </w:rPr>
        <w:t xml:space="preserve">USDOT number (and MC number if for-hire) in the registrant's name; the MCS-150 must be current.</w:t>
      </w:r>
    </w:p>
    <w:p>
      <w:pPr>
        <w:spacing w:after="90"/>
        <w:ind w:left="360" w:hanging="360"/>
      </w:pPr>
      <w:r>
        <w:t xml:space="preserve">☐  </w:t>
      </w:r>
      <w:r>
        <w:rPr>
          <w:b w:val="false"/>
          <w:bCs w:val="false"/>
        </w:rPr>
        <w:t xml:space="preserve">Vehicle title or lease, and the purchase price/date (fees in some jurisdictions are value-based).</w:t>
      </w:r>
    </w:p>
    <w:p>
      <w:pPr>
        <w:spacing w:after="90"/>
        <w:ind w:left="360" w:hanging="360"/>
      </w:pPr>
      <w:r>
        <w:t xml:space="preserve">☐  </w:t>
      </w:r>
      <w:r>
        <w:rPr>
          <w:b w:val="false"/>
          <w:bCs w:val="false"/>
        </w:rPr>
        <w:t xml:space="preserve">Proof of insurance; IRS Form 2290 Schedule 1 for vehicles 55,000 lb and above; any state-specific proof (sales tax, safety inspection).</w:t>
      </w:r>
    </w:p>
    <w:p>
      <w:pPr>
        <w:spacing w:after="90"/>
        <w:ind w:left="360" w:hanging="360"/>
      </w:pPr>
      <w:r>
        <w:t xml:space="preserve">☐  </w:t>
      </w:r>
      <w:r>
        <w:rPr>
          <w:b w:val="false"/>
          <w:bCs w:val="false"/>
        </w:rPr>
        <w:t xml:space="preserve">A </w:t>
      </w:r>
      <w:r>
        <w:rPr>
          <w:b/>
          <w:bCs/>
        </w:rPr>
        <w:t xml:space="preserve">distance estimate</w:t>
      </w:r>
      <w:r>
        <w:rPr>
          <w:b w:val="false"/>
          <w:bCs w:val="false"/>
        </w:rPr>
        <w:t xml:space="preserve"> for the first year: most jurisdictions now apportion on the full-reciprocity basis, so you declare every jurisdiction and fees use actual distance from the prior reporting period (or the jurisdiction's estimated distance chart for a new fleet).</w:t>
      </w:r>
    </w:p>
    <w:p>
      <w:pPr>
        <w:pStyle w:val="Heading2"/>
        <w:spacing w:after="120" w:before="280"/>
      </w:pPr>
      <w:r>
        <w:t xml:space="preserve">Once you are apportioned</w:t>
      </w:r>
    </w:p>
    <w:p>
      <w:pPr>
        <w:spacing w:after="90"/>
        <w:ind w:left="360" w:hanging="360"/>
      </w:pPr>
      <w:r>
        <w:t xml:space="preserve">☐  </w:t>
      </w:r>
      <w:r>
        <w:rPr>
          <w:b w:val="false"/>
          <w:bCs w:val="false"/>
        </w:rPr>
        <w:t xml:space="preserve">Carry the </w:t>
      </w:r>
      <w:r>
        <w:rPr>
          <w:b/>
          <w:bCs/>
        </w:rPr>
        <w:t xml:space="preserve">cab card</w:t>
      </w:r>
      <w:r>
        <w:rPr>
          <w:b w:val="false"/>
          <w:bCs w:val="false"/>
        </w:rPr>
        <w:t xml:space="preserve"> in the vehicle — it lists every jurisdiction you are registered for and the weight in each; a jurisdiction not listed is not covered.</w:t>
      </w:r>
    </w:p>
    <w:p>
      <w:pPr>
        <w:spacing w:after="90"/>
        <w:ind w:left="360" w:hanging="360"/>
      </w:pPr>
      <w:r>
        <w:t xml:space="preserve">☐  </w:t>
      </w:r>
      <w:r>
        <w:rPr>
          <w:b w:val="false"/>
          <w:bCs w:val="false"/>
        </w:rPr>
        <w:t xml:space="preserve">Renew annually on your base jurisdiction's cycle (many stagger renewals by month); expect renewal notices to require the prior year's actual distance by jurisdiction.</w:t>
      </w:r>
    </w:p>
    <w:p>
      <w:pPr>
        <w:spacing w:after="90"/>
        <w:ind w:left="360" w:hanging="360"/>
      </w:pPr>
      <w:r>
        <w:t xml:space="preserve">☐  </w:t>
      </w:r>
      <w:r>
        <w:rPr>
          <w:b w:val="false"/>
          <w:bCs w:val="false"/>
        </w:rPr>
        <w:t xml:space="preserve">Keep </w:t>
      </w:r>
      <w:r>
        <w:rPr>
          <w:b/>
          <w:bCs/>
        </w:rPr>
        <w:t xml:space="preserve">individual vehicle distance records</w:t>
      </w:r>
      <w:r>
        <w:rPr>
          <w:b w:val="false"/>
          <w:bCs w:val="false"/>
        </w:rPr>
        <w:t xml:space="preserve"> (trip date, origin, destination, route, odometer start/end, jurisdiction miles, unit number) — the same records IFTA requires. IRP requires records to be retained for several years after the registration year closes; check your jurisdiction's exact period.</w:t>
      </w:r>
    </w:p>
    <w:p>
      <w:pPr>
        <w:spacing w:after="90"/>
        <w:ind w:left="360" w:hanging="360"/>
      </w:pPr>
      <w:r>
        <w:t xml:space="preserve">☐  </w:t>
      </w:r>
      <w:r>
        <w:rPr>
          <w:b w:val="false"/>
          <w:bCs w:val="false"/>
        </w:rPr>
        <w:t xml:space="preserve">Adding or replacing vehicles mid-year is a supplemental application; weight increases likewise.</w:t>
      </w:r>
    </w:p>
    <w:p>
      <w:pPr>
        <w:spacing w:after="90"/>
        <w:ind w:left="360" w:hanging="360"/>
      </w:pPr>
      <w:r>
        <w:t xml:space="preserve">☐  </w:t>
      </w:r>
      <w:r>
        <w:rPr>
          <w:b w:val="false"/>
          <w:bCs w:val="false"/>
        </w:rPr>
        <w:t xml:space="preserve">Match your IRP distance to your IFTA distance — auditors compare them.</w:t>
      </w:r>
    </w:p>
    <w:p>
      <w:pPr>
        <w:pBdr>
          <w:left w:val="single" w:color="F59E0B" w:sz="18" w:space="6"/>
        </w:pBdr>
        <w:spacing w:after="120"/>
        <w:ind w:left="200"/>
      </w:pPr>
      <w:r>
        <w:rPr>
          <w:b/>
          <w:bCs/>
        </w:rPr>
        <w:t xml:space="preserve">⚠️ The most common IRP mistake for a new one-truck operation:</w:t>
      </w:r>
      <w:r>
        <w:rPr>
          <w:b w:val="false"/>
          <w:bCs w:val="false"/>
        </w:rPr>
        <w:t xml:space="preserve"> assuming the base plate plus an occasional permit will do, then running regular interstate lanes on it. Once trips are monthly, apportioned plates are almost always cheaper than permits — and the alternative at a scale is a citation and a permit bought on the spot at the highest price.</w:t>
      </w:r>
    </w:p>
    <w:p/>
    <w:p>
      <w:r>
        <w:rPr>
          <w:i/>
          <w:iCs/>
          <w:color w:val="666666"/>
          <w:sz w:val="17"/>
          <w:szCs w:val="17"/>
        </w:rPr>
        <w:t xml:space="preserve">General guidance for motor carriers, not legal advice. FMCSA rules, fees and state procedures change — verify current requirements with FMCSA (fmcsa.dot.gov) and your state agencies before relying on any item here. FleetClear is not affiliated with the FMCSA or any government agency.</w:t>
      </w:r>
    </w:p>
    <w:sectPr>
      <w:footerReference w:type="default" r:id="rId7"/>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8"/>
        <w:szCs w:val="18"/>
      </w:rPr>
      <w:t xml:space="preserve">FleetClear — fleetclear.9gg.app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IRP Apportioned Plates: Do You Need Them? (Free Decision Flowchart)</dc:title>
  <dc:creator>FleetClear</dc:creator>
  <cp:lastModifiedBy>Un-named</cp:lastModifiedBy>
  <cp:revision>1</cp:revision>
  <dcterms:created xsi:type="dcterms:W3CDTF">2026-09-07T14:35:03.288Z</dcterms:created>
  <dcterms:modified xsi:type="dcterms:W3CDTF">2026-09-07T14:35:03.288Z</dcterms:modified>
</cp:coreProperties>
</file>

<file path=docProps/custom.xml><?xml version="1.0" encoding="utf-8"?>
<Properties xmlns="http://schemas.openxmlformats.org/officeDocument/2006/custom-properties" xmlns:vt="http://schemas.openxmlformats.org/officeDocument/2006/docPropsVTypes"/>
</file>