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DOT Compliance Binder Index &amp; Dividers (Free Printable)</w:t>
      </w:r>
    </w:p>
    <w:p>
      <w:pPr>
        <w:spacing w:after="240"/>
      </w:pPr>
      <w:r>
        <w:rPr>
          <w:color w:val="666666"/>
          <w:sz w:val="18"/>
          <w:szCs w:val="18"/>
        </w:rPr>
        <w:t xml:space="preserve">FleetClear · https://fleetclear.9gg.app/templates/dot-compliance-binder-index.html · 2026-09-07</w:t>
      </w:r>
    </w:p>
    <w:p>
      <w:pPr>
        <w:spacing w:after="120"/>
      </w:pPr>
      <w:r>
        <w:rPr>
          <w:b w:val="false"/>
          <w:bCs w:val="false"/>
        </w:rPr>
        <w:t xml:space="preserve">A compliance review or New Entrant audit is a document exercise: the investigator asks for a record, and either you can put your hand on it or you cannot. A binder (paper or a mirrored folder structure on a drive) organised the way investigators think — by regulatory part — turns a stressful day into a short one. This index gives you twelve tabs, the contents of each, and how long each record must be kept. The Word download includes a printable divider page per tab. Free — just tell us where to send it.</w:t>
      </w:r>
    </w:p>
    <w:p>
      <w:pPr>
        <w:pStyle w:val="Heading2"/>
        <w:spacing w:after="120" w:before="280"/>
      </w:pPr>
      <w:r>
        <w:t xml:space="preserve">The twelve tabs at a glance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%"/>
            <w:shd w:fill="E8EEF9"/>
          </w:tcPr>
          <w:p>
            <w:r>
              <w:rPr>
                <w:b/>
                <w:bCs/>
              </w:rPr>
              <w:t xml:space="preserve">Tab</w:t>
            </w:r>
          </w:p>
        </w:tc>
        <w:tc>
          <w:tcPr>
            <w:tcW w:type="pct" w:w="33%"/>
            <w:shd w:fill="E8EEF9"/>
          </w:tcPr>
          <w:p>
            <w:r>
              <w:rPr>
                <w:b/>
                <w:bCs/>
              </w:rPr>
              <w:t xml:space="preserve">Contents</w:t>
            </w:r>
          </w:p>
        </w:tc>
        <w:tc>
          <w:tcPr>
            <w:tcW w:type="pct" w:w="33%"/>
            <w:shd w:fill="E8EEF9"/>
          </w:tcPr>
          <w:p>
            <w:r>
              <w:rPr>
                <w:b/>
                <w:bCs/>
              </w:rPr>
              <w:t xml:space="preserve">Keep for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1. Company registration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USDOT registration confirmation; MC authority certificate; BOC-3; UCR receipt (current year); MCS-150 confirmations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Current + prior filings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2. Insurance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Liability policy and certificate; MCS-90 endorsement; cargo policy; proof of FMCSA filings (BMC-91/91X)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While in force + prior policies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3. Vehicle registration &amp; taxes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Titles; IRP cab cards; IFTA licence copy and decal numbers; Form 2290 Schedule 1; state permits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Current + prior year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4. IFTA / IRP records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Quarterly IFTA returns; trip records; fuel receipts; IRP distance summaries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4 years (IFTA); per IRP plan for IRP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5. Driver qualification files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One folder per driver — see below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Employment + 3 years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6. Drug &amp; alcohol program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Policy; consortium agreement; test results; Clearinghouse queries; supervisor training certificates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1–5 years by record type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7. Hours of service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ELD records and supporting documents; malfunction logs; exemption records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6 months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8. Vehicle maintenance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Per-unit file: identification, maintenance schedule, repair records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 year + 6 months after disposal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9. Inspections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Annual inspection reports; DVIRs; roadside inspection reports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14 months / 3 months / 12 months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10. Accident register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Register per 49 CFR 390.15 plus reports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3 years from accident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11. Hazmat (if applicable)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PHMSA registration; training records; security plan; shipping papers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Per Part 172 (training 3 yrs; papers 2 yrs)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12. Audit &amp; correspondence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FMCSA letters; audit results; corrective action plans; policies and training logs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Permanently</w:t>
            </w:r>
          </w:p>
        </w:tc>
      </w:tr>
    </w:tbl>
    <w:p/>
    <w:p>
      <w:pPr>
        <w:pStyle w:val="Heading2"/>
        <w:spacing w:after="120" w:before="280"/>
      </w:pPr>
      <w:r>
        <w:t xml:space="preserve">Tab 5 — Driver qualification file (49 CFR 391.51), one folder per driver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Employment application (391.21) and record of the previous three years of employers, with the safety-performance history inquiries (391.23) and responses.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Motor vehicle record from each state where the driver held a licence in the past three years, obtained at hire.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Road test certificate (391.31) or the CDL copy accepted in lieu (391.33).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Medical Examiner's Certificate and the National Registry verification note (391.51(b)(7)); for CDL holders, the state MVR showing medical status.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Annual review of driving record (391.25) — a fresh MVR and the reviewer's note, every 12 months.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Any variance/waiver or Skill Performance Evaluation certificate; entry-level driver training verification where required.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Clearinghouse pre-employment full query and annual limited query results (keep with Tab 6 if you prefer, but be able to show them per driver).</w:t>
      </w:r>
    </w:p>
    <w:p>
      <w:pPr>
        <w:pStyle w:val="Heading2"/>
        <w:spacing w:after="120" w:before="280"/>
      </w:pPr>
      <w:r>
        <w:t xml:space="preserve">Tab 6 — Drug and alcohol retention (49 CFR 382.401)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5 years:</w:t>
      </w:r>
      <w:r>
        <w:rPr>
          <w:b w:val="false"/>
          <w:bCs w:val="false"/>
        </w:rPr>
        <w:t xml:space="preserve"> positive and refusal results, alcohol results of 0.02 or greater, SAP reports, annual MIS summaries, evaluation and referral records.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2 years:</w:t>
      </w:r>
      <w:r>
        <w:rPr>
          <w:b w:val="false"/>
          <w:bCs w:val="false"/>
        </w:rPr>
        <w:t xml:space="preserve"> records of the collection process and of supervisor/driver training.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1 year:</w:t>
      </w:r>
      <w:r>
        <w:rPr>
          <w:b w:val="false"/>
          <w:bCs w:val="false"/>
        </w:rPr>
        <w:t xml:space="preserve"> negative and cancelled drug tests; alcohol results under 0.02.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Keep the random-selection records from the consortium showing the pool and the draws.</w:t>
      </w:r>
    </w:p>
    <w:p>
      <w:pPr>
        <w:pStyle w:val="Heading2"/>
        <w:spacing w:after="120" w:before="280"/>
      </w:pPr>
      <w:r>
        <w:t xml:space="preserve">Tabs 7–9 — the rolling records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ELD / hours of service:</w:t>
      </w:r>
      <w:r>
        <w:rPr>
          <w:b w:val="false"/>
          <w:bCs w:val="false"/>
        </w:rPr>
        <w:t xml:space="preserve"> six months of RODS and supporting documents (up to eight per day: bills of lading, fuel receipts, dispatch records, toll receipts, etc.). Back them up off the ELD provider.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DVIRs:</w:t>
      </w:r>
      <w:r>
        <w:rPr>
          <w:b w:val="false"/>
          <w:bCs w:val="false"/>
        </w:rPr>
        <w:t xml:space="preserve"> three months; every report noting a defect needs the mechanic's certification and the next driver's acknowledgement.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Annual inspections:</w:t>
      </w:r>
      <w:r>
        <w:rPr>
          <w:b w:val="false"/>
          <w:bCs w:val="false"/>
        </w:rPr>
        <w:t xml:space="preserve"> report kept 14 months; inspector qualification evidence kept while they inspect for you plus one year.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Roadside inspection reports:</w:t>
      </w:r>
      <w:r>
        <w:rPr>
          <w:b w:val="false"/>
          <w:bCs w:val="false"/>
        </w:rPr>
        <w:t xml:space="preserve"> driver hands them in within 24 hours; you sign, correct any violations, and return the signed copy to the issuing agency within 15 days; keep for 12 months.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Maintenance file per unit (396.3):</w:t>
      </w:r>
      <w:r>
        <w:rPr>
          <w:b w:val="false"/>
          <w:bCs w:val="false"/>
        </w:rPr>
        <w:t xml:space="preserve"> company number, make, serial/VIN, year, tire size; owner if not you; schedule of inspections and maintenance; record of what was done and when.</w:t>
      </w:r>
    </w:p>
    <w:p>
      <w:pPr>
        <w:pStyle w:val="Heading2"/>
        <w:spacing w:after="120" w:before="280"/>
      </w:pPr>
      <w:r>
        <w:t xml:space="preserve">Setting up the binder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Print the divider pages from the download; put the retention period on each so the person filing knows when to purge.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Mirror the structure in a cloud folder — investigators accept electronic records if you can produce them on request.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Name one person as owner of the binder; add a "last reviewed" line to each divider and walk it quarterly.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Pair it with the deadline calendar — the binder holds the proof, the calendar tells you when the next proof is due.</w:t>
      </w:r>
    </w:p>
    <w:p/>
    <w:p>
      <w:r>
        <w:rPr>
          <w:i/>
          <w:iCs/>
          <w:color w:val="666666"/>
          <w:sz w:val="17"/>
          <w:szCs w:val="17"/>
        </w:rPr>
        <w:t xml:space="preserve">General guidance for motor carriers, not legal advice. FMCSA rules, fees and state procedures change — verify current requirements with FMCSA (fmcsa.dot.gov) and your state agencies before relying on any item here. FleetClear is not affiliated with the FMCSA or any government agency.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FleetClear — fleetclear.9gg.app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 Compliance Binder Index &amp; Dividers (Free Printable)</dc:title>
  <dc:creator>FleetClear</dc:creator>
  <cp:lastModifiedBy>Un-named</cp:lastModifiedBy>
  <cp:revision>1</cp:revision>
  <dcterms:created xsi:type="dcterms:W3CDTF">2026-09-07T14:35:03.362Z</dcterms:created>
  <dcterms:modified xsi:type="dcterms:W3CDTF">2026-09-07T14:35:03.362Z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